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6DDF7F1A"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0C6952">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7548BF4B"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0C6952">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58B9467C"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0C6952">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4EA05BC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0C6952">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5B0CFE7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0C6952">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702793A7" w:rsidR="00870C9E" w:rsidRPr="00870C9E" w:rsidRDefault="005F6D33" w:rsidP="005656CC">
            <w:pPr>
              <w:spacing w:before="60" w:after="160" w:line="240" w:lineRule="auto"/>
              <w:ind w:right="261"/>
              <w:rPr>
                <w:rFonts w:cs="Arial"/>
              </w:rPr>
            </w:pPr>
            <w:r w:rsidRPr="00DE4EBD">
              <w:rPr>
                <w:rFonts w:cs="Arial"/>
              </w:rPr>
              <w:t>Position:</w:t>
            </w:r>
          </w:p>
        </w:tc>
        <w:tc>
          <w:tcPr>
            <w:tcW w:w="1768" w:type="pct"/>
            <w:vAlign w:val="bottom"/>
          </w:tcPr>
          <w:p w14:paraId="40419381" w14:textId="77777777" w:rsidR="005F6D33" w:rsidRPr="00DE4EBD" w:rsidRDefault="005F6D33" w:rsidP="00F432E7">
            <w:pPr>
              <w:keepNext/>
              <w:tabs>
                <w:tab w:val="left" w:leader="dot" w:pos="3222"/>
              </w:tabs>
              <w:spacing w:before="60" w:after="160" w:line="240" w:lineRule="auto"/>
              <w:ind w:right="261"/>
              <w:rPr>
                <w:rFonts w:cs="Arial"/>
              </w:rPr>
            </w:pPr>
            <w:r>
              <w:rPr>
                <w:rFonts w:cs="Arial"/>
              </w:rPr>
              <w:tab/>
            </w: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lastRenderedPageBreak/>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default" r:id="rId8"/>
          <w:footerReference w:type="default" r:id="rId9"/>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4"/>
      <w:bookmarkEnd w:id="5"/>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224E7D89"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0C6952">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w:t>
      </w:r>
      <w:proofErr w:type="gramStart"/>
      <w:r w:rsidRPr="005656CC">
        <w:rPr>
          <w:b/>
          <w:bCs/>
          <w:i/>
          <w:iCs/>
        </w:rPr>
        <w:t>e.g.</w:t>
      </w:r>
      <w:proofErr w:type="gramEnd"/>
      <w:r w:rsidRPr="005656CC">
        <w:rPr>
          <w:b/>
          <w:bCs/>
          <w:i/>
          <w:iCs/>
        </w:rPr>
        <w:t xml:space="preserve">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w:t>
      </w:r>
      <w:proofErr w:type="gramStart"/>
      <w:r w:rsidRPr="005656CC">
        <w:rPr>
          <w:b/>
          <w:bCs/>
          <w:i/>
          <w:iCs/>
        </w:rPr>
        <w:t>e.g.</w:t>
      </w:r>
      <w:proofErr w:type="gramEnd"/>
      <w:r w:rsidRPr="005656CC">
        <w:rPr>
          <w:b/>
          <w:bCs/>
          <w:i/>
          <w:iCs/>
        </w:rPr>
        <w:t xml:space="preserve">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DBF096D"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0C6952">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r>
      <w:proofErr w:type="gramStart"/>
      <w:r w:rsidRPr="00DE4EBD">
        <w:rPr>
          <w:b/>
        </w:rPr>
        <w:t>£[</w:t>
      </w:r>
      <w:proofErr w:type="gramEnd"/>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r>
      <w:proofErr w:type="gramStart"/>
      <w:r w:rsidRPr="00DE4EBD">
        <w:rPr>
          <w:b/>
        </w:rPr>
        <w:t>£[</w:t>
      </w:r>
      <w:proofErr w:type="gramEnd"/>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r>
      <w:proofErr w:type="gramStart"/>
      <w:r w:rsidRPr="00DE4EBD">
        <w:rPr>
          <w:b/>
        </w:rPr>
        <w:t>£[</w:t>
      </w:r>
      <w:proofErr w:type="gramEnd"/>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r>
      <w:proofErr w:type="gramStart"/>
      <w:r w:rsidRPr="00DE4EBD">
        <w:rPr>
          <w:b/>
        </w:rPr>
        <w:t>£[</w:t>
      </w:r>
      <w:proofErr w:type="gramEnd"/>
      <w:r w:rsidRPr="00DE4EBD">
        <w:rPr>
          <w:b/>
        </w:rPr>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r>
      <w:proofErr w:type="gramStart"/>
      <w:r w:rsidRPr="00DE4EBD">
        <w:rPr>
          <w:b/>
        </w:rPr>
        <w:t>£[</w:t>
      </w:r>
      <w:proofErr w:type="gramEnd"/>
      <w:r w:rsidRPr="00DE4EBD">
        <w:rPr>
          <w:b/>
        </w:rPr>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w:t>
      </w:r>
      <w:proofErr w:type="gramStart"/>
      <w:r w:rsidRPr="00447A9C">
        <w:rPr>
          <w:b/>
          <w:bCs/>
          <w:i/>
          <w:iCs/>
        </w:rPr>
        <w:t>e.g.</w:t>
      </w:r>
      <w:proofErr w:type="gramEnd"/>
      <w:r w:rsidRPr="00447A9C">
        <w:rPr>
          <w:b/>
          <w:bCs/>
          <w:i/>
          <w:iCs/>
        </w:rPr>
        <w:t xml:space="preserve">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4D2EE2DD" w14:textId="602414C5" w:rsidR="005F6D33" w:rsidRPr="00447A9C" w:rsidRDefault="005F6D33" w:rsidP="00375755">
      <w:pPr>
        <w:pStyle w:val="MRSchedPara1"/>
        <w:spacing w:before="60" w:after="160" w:line="276" w:lineRule="auto"/>
        <w:ind w:right="261"/>
        <w:rPr>
          <w:i/>
          <w:iCs/>
        </w:rPr>
      </w:pPr>
      <w:r w:rsidRPr="00447A9C">
        <w:t>S</w:t>
      </w:r>
      <w:bookmarkStart w:id="8" w:name="_Ref497230934"/>
      <w:r w:rsidRPr="00447A9C">
        <w:t xml:space="preserve">afeguarding and Protecting Children and Vulnerable Adults [NB </w:t>
      </w:r>
      <w:r w:rsidRPr="00447A9C">
        <w:rPr>
          <w:i/>
          <w:iCs/>
        </w:rPr>
        <w:t>please note the following guidance on when to use this extended Safeguarding clause:</w:t>
      </w:r>
    </w:p>
    <w:p w14:paraId="1AC218B8" w14:textId="5352E92C" w:rsidR="005F6D33" w:rsidRPr="00447A9C" w:rsidRDefault="005F6D33" w:rsidP="00375755">
      <w:pPr>
        <w:pStyle w:val="MRSchedPara2"/>
        <w:numPr>
          <w:ilvl w:val="1"/>
          <w:numId w:val="28"/>
        </w:numPr>
        <w:spacing w:before="60" w:after="160" w:line="276" w:lineRule="auto"/>
        <w:ind w:right="261"/>
        <w:rPr>
          <w:i/>
          <w:iCs/>
        </w:rPr>
      </w:pPr>
      <w:r w:rsidRPr="00447A9C">
        <w:rPr>
          <w:i/>
          <w:iCs/>
        </w:rPr>
        <w:t>Please include this clause if the other party is carrying out activity with children and/or vulnerable adults. This is in addition to the Safeguarding clause in Schedule 4.</w:t>
      </w:r>
    </w:p>
    <w:p w14:paraId="233B1BEB" w14:textId="4B93C02C" w:rsidR="005F6D33" w:rsidRPr="00447A9C" w:rsidRDefault="005F6D33" w:rsidP="00375755">
      <w:pPr>
        <w:pStyle w:val="MRSchedPara2"/>
        <w:numPr>
          <w:ilvl w:val="1"/>
          <w:numId w:val="28"/>
        </w:numPr>
        <w:spacing w:before="60" w:after="160" w:line="276" w:lineRule="auto"/>
        <w:ind w:right="261"/>
        <w:rPr>
          <w:i/>
          <w:iCs/>
        </w:rPr>
      </w:pPr>
      <w:r w:rsidRPr="00447A9C">
        <w:rPr>
          <w:i/>
          <w:iCs/>
        </w:rPr>
        <w:t>If the other party is not carrying out activity with children and/or vulnerable adults this clause may be deleted, however you must retain the Safeguarding clause in Schedule 4.</w:t>
      </w:r>
    </w:p>
    <w:p w14:paraId="2DAACE61" w14:textId="7EB049BC" w:rsidR="005F6D33" w:rsidRPr="00447A9C" w:rsidRDefault="005F6D33" w:rsidP="00375755">
      <w:pPr>
        <w:pStyle w:val="MRSchedPara2"/>
        <w:numPr>
          <w:ilvl w:val="1"/>
          <w:numId w:val="28"/>
        </w:numPr>
        <w:spacing w:before="60" w:after="160" w:line="276" w:lineRule="auto"/>
        <w:ind w:right="261"/>
        <w:rPr>
          <w:i/>
          <w:iCs/>
        </w:rPr>
      </w:pPr>
      <w:r w:rsidRPr="00447A9C">
        <w:rPr>
          <w:i/>
          <w:iCs/>
        </w:rPr>
        <w:t>Regardless of whether this extended clause is used or not used, please ensure the Safeguarding Clause in Schedule 4 of the Agreement remains as this is a Standard Term and should not be deleted.</w:t>
      </w:r>
    </w:p>
    <w:p w14:paraId="0CBC2812" w14:textId="2AA0E548" w:rsidR="005F6D33" w:rsidRPr="00DE4EBD" w:rsidRDefault="005F6D33" w:rsidP="00375755">
      <w:pPr>
        <w:pStyle w:val="MRSchedPara1"/>
        <w:spacing w:before="60" w:after="160" w:line="276" w:lineRule="auto"/>
        <w:ind w:right="261"/>
      </w:pPr>
      <w:bookmarkStart w:id="9" w:name="_Ref72391382"/>
      <w:r w:rsidRPr="00DE4EBD">
        <w:t>[Safeguarding and Protecting Children and Vulnerable Adults] [NB delete this clause 10 if not applicable – see guidance note]</w:t>
      </w:r>
      <w:bookmarkEnd w:id="8"/>
      <w:bookmarkEnd w:id="9"/>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xml:space="preserve">, and any regulations made thereunder, as amended from time to time (the </w:t>
      </w:r>
      <w:r w:rsidRPr="00DE4EBD">
        <w:lastRenderedPageBreak/>
        <w:t>“</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8181DA6"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6AC0CADF"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0C6952">
        <w:t>11.4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6157F698"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0C6952">
        <w:t>11.4.1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0"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 xml:space="preserve">The Supplier warrants that </w:t>
      </w:r>
      <w:proofErr w:type="gramStart"/>
      <w:r w:rsidRPr="00DE4EBD">
        <w:t>at all times</w:t>
      </w:r>
      <w:proofErr w:type="gramEnd"/>
      <w:r w:rsidRPr="00DE4EBD">
        <w:t xml:space="preserve"> during the Term, it is not, and has no reason to believe that any person who is or will be employed or engaged by the Supplier in connection with the Project is, barred from carrying out such employment or engagement.</w:t>
      </w:r>
    </w:p>
    <w:p w14:paraId="287183CD" w14:textId="2537F3A1"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 xml:space="preserve"> have been met.</w:t>
      </w:r>
    </w:p>
    <w:p w14:paraId="25DA2125" w14:textId="44DCF485"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where it removes permission for such person to carry out the Regulated Activity (or would or might have, if such person had not otherwise ceased to engage in the </w:t>
      </w:r>
      <w:r w:rsidRPr="00DE4EBD">
        <w:lastRenderedPageBreak/>
        <w:t xml:space="preserve">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130B7808"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w:t>
      </w:r>
      <w:bookmarkEnd w:id="13"/>
    </w:p>
    <w:p w14:paraId="4D9385CA" w14:textId="540464FC"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0C6952">
        <w:t>11.11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60E29279"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12</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United </w:t>
      </w:r>
      <w:proofErr w:type="gramStart"/>
      <w:r w:rsidRPr="00B7062D">
        <w:rPr>
          <w:rFonts w:cs="Arial"/>
          <w:b/>
          <w:bCs/>
          <w:i/>
          <w:iCs/>
        </w:rPr>
        <w:t>Kingdom;</w:t>
      </w:r>
      <w:proofErr w:type="gramEnd"/>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Austria, Belgium, Bulgaria, Croatia, Cyprus, Czech Republic, Denmark, Estonia, Finland, France, Germany, Greece, Hungary, Ireland, Italy, Latvia, Lithuania, Luxembourg, Malta, Netherlands, Poland, Portugal, Romania, Slovakia, Slovenia, Spain, Sweden, Iceland, Norway </w:t>
      </w:r>
      <w:proofErr w:type="gramStart"/>
      <w:r w:rsidRPr="00B7062D">
        <w:rPr>
          <w:rFonts w:cs="Arial"/>
          <w:b/>
          <w:bCs/>
          <w:i/>
          <w:iCs/>
        </w:rPr>
        <w:t>Liechtenstein;</w:t>
      </w:r>
      <w:proofErr w:type="gramEnd"/>
    </w:p>
    <w:p w14:paraId="149AB0E0" w14:textId="77777777" w:rsidR="00C45A7D" w:rsidRPr="00B7062D" w:rsidRDefault="00C45A7D" w:rsidP="00375755">
      <w:pPr>
        <w:numPr>
          <w:ilvl w:val="0"/>
          <w:numId w:val="32"/>
        </w:numPr>
        <w:spacing w:before="60" w:after="160" w:line="276" w:lineRule="auto"/>
        <w:outlineLvl w:val="1"/>
        <w:rPr>
          <w:rFonts w:cs="Arial"/>
          <w:b/>
          <w:bCs/>
          <w:i/>
          <w:iCs/>
        </w:rPr>
      </w:pPr>
      <w:proofErr w:type="gramStart"/>
      <w:r w:rsidRPr="00B7062D">
        <w:rPr>
          <w:rFonts w:cs="Arial"/>
          <w:b/>
          <w:bCs/>
          <w:i/>
          <w:iCs/>
        </w:rPr>
        <w:t>Gibraltar;</w:t>
      </w:r>
      <w:proofErr w:type="gramEnd"/>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 xml:space="preserve">Andorra, Argentina, Faroe Islands, Guernsey, Isle of Man, Israel, Jersey, New Zealand, Switzerland and </w:t>
      </w:r>
      <w:proofErr w:type="gramStart"/>
      <w:r w:rsidRPr="00B7062D">
        <w:rPr>
          <w:rFonts w:cs="Arial"/>
          <w:b/>
          <w:bCs/>
          <w:i/>
          <w:iCs/>
        </w:rPr>
        <w:t>Uruguay;</w:t>
      </w:r>
      <w:proofErr w:type="gramEnd"/>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roofErr w:type="gramStart"/>
      <w:r w:rsidRPr="00B7062D">
        <w:rPr>
          <w:rFonts w:cs="Arial"/>
          <w:b/>
          <w:bCs/>
          <w:i/>
          <w:iCs/>
        </w:rPr>
        <w:t>);</w:t>
      </w:r>
      <w:proofErr w:type="gramEnd"/>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4EFFAB2F" w14:textId="6E853A4A"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54BC4A7A"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0C6952">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54B86CA2"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1"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1557E7F4"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742579C4"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0C6952">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3"/>
      <w:bookmarkEnd w:id="25"/>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7"/>
      <w:bookmarkEnd w:id="28"/>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[insert details] [</w:t>
      </w:r>
      <w:proofErr w:type="gramStart"/>
      <w:r w:rsidRPr="00F432E7">
        <w:rPr>
          <w:b/>
          <w:bCs/>
          <w:i/>
          <w:iCs/>
        </w:rPr>
        <w:t>e.g.</w:t>
      </w:r>
      <w:proofErr w:type="gramEnd"/>
      <w:r w:rsidRPr="00F432E7">
        <w:rPr>
          <w:b/>
          <w:bCs/>
          <w:i/>
          <w:iCs/>
        </w:rPr>
        <w:t xml:space="preserve"> monthly charge/fixed sum paid against an agreed payment schedule/daily or hourly rates/unit charges/price list for a range of products.  If the Agreement is for the provision of consultancy </w:t>
      </w:r>
      <w:proofErr w:type="gramStart"/>
      <w:r w:rsidRPr="00F432E7">
        <w:rPr>
          <w:b/>
          <w:bCs/>
          <w:i/>
          <w:iCs/>
        </w:rPr>
        <w:t>on a daily basis</w:t>
      </w:r>
      <w:proofErr w:type="gramEnd"/>
      <w:r w:rsidRPr="00F432E7">
        <w:rPr>
          <w:b/>
          <w:bCs/>
          <w:i/>
          <w:iCs/>
        </w:rPr>
        <w:t>,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6713E340" w:rsidR="005F6D33" w:rsidRPr="00DE4EBD" w:rsidRDefault="005F6D33" w:rsidP="00375755">
      <w:pPr>
        <w:spacing w:before="60" w:after="160" w:line="276" w:lineRule="auto"/>
        <w:ind w:right="261"/>
      </w:pPr>
      <w:r w:rsidRPr="00DE4EBD">
        <w:rPr>
          <w:b/>
        </w:rPr>
        <w:t>[</w:t>
      </w:r>
      <w:r w:rsidRPr="00DE4EBD">
        <w:t xml:space="preserve">The Charges set out above are an </w:t>
      </w:r>
      <w:proofErr w:type="spellStart"/>
      <w:proofErr w:type="gramStart"/>
      <w:r w:rsidRPr="00DE4EBD">
        <w:t>all inclusive</w:t>
      </w:r>
      <w:proofErr w:type="spellEnd"/>
      <w:proofErr w:type="gramEnd"/>
      <w:r w:rsidRPr="00DE4EBD">
        <w:t xml:space="preser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0C6952">
        <w:rPr>
          <w:b/>
          <w:noProof/>
        </w:rPr>
        <w:t> </w:t>
      </w:r>
      <w:r w:rsidR="000C6952">
        <w:rPr>
          <w:b/>
          <w:noProof/>
        </w:rPr>
        <w:t> </w:t>
      </w:r>
      <w:r w:rsidR="000C6952">
        <w:rPr>
          <w:b/>
          <w:noProof/>
        </w:rPr>
        <w:t> </w:t>
      </w:r>
      <w:r w:rsidR="000C6952">
        <w:rPr>
          <w:b/>
          <w:noProof/>
        </w:rPr>
        <w:t> </w:t>
      </w:r>
      <w:r w:rsidR="000C6952">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w:t>
      </w:r>
      <w:proofErr w:type="gramStart"/>
      <w:r w:rsidRPr="00DE4EBD">
        <w:t>to:</w:t>
      </w:r>
      <w:proofErr w:type="gramEnd"/>
      <w:r w:rsidRPr="00DE4EBD">
        <w:t xml:space="preserve">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xml:space="preserve">[            </w:t>
      </w:r>
      <w:proofErr w:type="gramStart"/>
      <w:r w:rsidRPr="00DE4EBD">
        <w:rPr>
          <w:b/>
        </w:rPr>
        <w:t xml:space="preserve">  ]</w:t>
      </w:r>
      <w:proofErr w:type="gramEnd"/>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xml:space="preserve">[       </w:t>
      </w:r>
      <w:proofErr w:type="gramStart"/>
      <w:r w:rsidRPr="00DE4EBD">
        <w:rPr>
          <w:b/>
        </w:rPr>
        <w:t xml:space="preserve">  ]</w:t>
      </w:r>
      <w:proofErr w:type="gramEnd"/>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xml:space="preserve">[                </w:t>
      </w:r>
      <w:proofErr w:type="gramStart"/>
      <w:r w:rsidRPr="00DE4EBD">
        <w:rPr>
          <w:b/>
        </w:rPr>
        <w:t xml:space="preserve">  ]</w:t>
      </w:r>
      <w:proofErr w:type="gramEnd"/>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14:paraId="7AAFE131" w14:textId="42E39880"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0C6952">
        <w:t>3.1.1</w:t>
      </w:r>
      <w:r w:rsidRPr="00DE4EBD">
        <w:fldChar w:fldCharType="end"/>
      </w:r>
      <w:r w:rsidRPr="00DE4EBD">
        <w:t xml:space="preserve"> of these Standard </w:t>
      </w:r>
      <w:proofErr w:type="gramStart"/>
      <w:r w:rsidRPr="00DE4EBD">
        <w:t>Terms;</w:t>
      </w:r>
      <w:proofErr w:type="gramEnd"/>
    </w:p>
    <w:p w14:paraId="485F038B" w14:textId="2981162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2"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65997671"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w:t>
      </w:r>
      <w:proofErr w:type="gramStart"/>
      <w:r w:rsidRPr="00DE4EBD">
        <w:t>fees</w:t>
      </w:r>
      <w:proofErr w:type="gramEnd"/>
      <w:r w:rsidRPr="00DE4EBD">
        <w:t xml:space="preserve"> and any other sums payable by the British Council to the Supplier as set out in </w:t>
      </w:r>
      <w:r w:rsidR="004665AB">
        <w:fldChar w:fldCharType="begin"/>
      </w:r>
      <w:r w:rsidR="004665AB">
        <w:instrText xml:space="preserve"> REF _Ref119932644 \r \h </w:instrText>
      </w:r>
      <w:r w:rsidR="004665AB">
        <w:fldChar w:fldCharType="separate"/>
      </w:r>
      <w:r w:rsidR="000C6952">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14:paraId="37D4222A" w14:textId="2D23C367"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0C6952">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8F41B8A"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 xml:space="preserve">the </w:t>
      </w:r>
      <w:proofErr w:type="gramStart"/>
      <w:r w:rsidRPr="008F2575">
        <w:t>FOIA;</w:t>
      </w:r>
      <w:proofErr w:type="gramEnd"/>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14:paraId="0A013307" w14:textId="47ABA17A"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14:paraId="447B5134" w14:textId="3217B685"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14:paraId="1BB90F78" w14:textId="2C55E5DA" w:rsidR="005F6D33" w:rsidRPr="00DE4EBD" w:rsidRDefault="005F6D33" w:rsidP="00375755">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14:paraId="18D99ADA" w14:textId="72F24659" w:rsidR="005F6D33" w:rsidRPr="00DE4EBD" w:rsidRDefault="005F6D33" w:rsidP="00375755">
      <w:pPr>
        <w:pStyle w:val="MRSchedPara3"/>
        <w:spacing w:before="60" w:after="160" w:line="276" w:lineRule="auto"/>
        <w:ind w:right="261"/>
      </w:pPr>
      <w:bookmarkStart w:id="37"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0C6952">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 xml:space="preserve">the business, operations, customers, assets, Intellectual Property Rights, </w:t>
      </w:r>
      <w:proofErr w:type="gramStart"/>
      <w:r w:rsidRPr="00DE4EBD">
        <w:t>agreements</w:t>
      </w:r>
      <w:proofErr w:type="gramEnd"/>
      <w:r w:rsidRPr="00DE4EBD">
        <w:t xml:space="preserve">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32F63DC2"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w:t>
      </w:r>
      <w:proofErr w:type="gramStart"/>
      <w:r w:rsidRPr="00DE4EBD">
        <w:t>experienced</w:t>
      </w:r>
      <w:proofErr w:type="gramEnd"/>
      <w:r w:rsidRPr="00DE4EBD">
        <w:t xml:space="preserve">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 xml:space="preserve">The Supplier shall not at any time during the Term do or say anything which damages or which could reasonably be expected to damage the interests or reputation of the British Council or the End Client (if any) or their respective officers, employees, </w:t>
      </w:r>
      <w:proofErr w:type="gramStart"/>
      <w:r w:rsidRPr="00DE4EBD">
        <w:t>agents</w:t>
      </w:r>
      <w:proofErr w:type="gramEnd"/>
      <w:r w:rsidRPr="00DE4EBD">
        <w:t xml:space="preserve">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 xml:space="preserve">The Supplier may use another person, firm, </w:t>
      </w:r>
      <w:proofErr w:type="gramStart"/>
      <w:r w:rsidRPr="00DE4EBD">
        <w:t>company</w:t>
      </w:r>
      <w:proofErr w:type="gramEnd"/>
      <w:r w:rsidRPr="00DE4EBD">
        <w:t xml:space="preserve">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 xml:space="preserve">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 xml:space="preserve">Nothing in this Agreement shall prevent the Supplier from being engaged, </w:t>
      </w:r>
      <w:proofErr w:type="gramStart"/>
      <w:r w:rsidRPr="00DE4EBD">
        <w:t>concerned</w:t>
      </w:r>
      <w:proofErr w:type="gramEnd"/>
      <w:r w:rsidRPr="00DE4EBD">
        <w:t xml:space="preserve">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14:paraId="6458E3FC" w14:textId="0275C4B7"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0C6952">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 xml:space="preserve">The Supplier shall indemnify and keep indemnified the British Council from and against any liability, including any interest, penalties or costs incurred, which is levied, </w:t>
      </w:r>
      <w:proofErr w:type="gramStart"/>
      <w:r w:rsidRPr="00DE4EBD">
        <w:t>demanded</w:t>
      </w:r>
      <w:proofErr w:type="gramEnd"/>
      <w:r w:rsidRPr="00DE4EBD">
        <w:t xml:space="preserve">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47B01CDD"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0C6952">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0C6952">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xml:space="preserv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 xml:space="preserve">The British Council reserves the right to reject any Goods and/or reject or require re-performance (at no additional cost to the British Council) of any Services which are </w:t>
      </w:r>
      <w:proofErr w:type="gramStart"/>
      <w:r w:rsidRPr="00DE4EBD">
        <w:t>defective</w:t>
      </w:r>
      <w:proofErr w:type="gramEnd"/>
      <w:r w:rsidRPr="00DE4EBD">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 xml:space="preserve">Ownership of Goods shall pass to the British Council on delivery, </w:t>
      </w:r>
      <w:proofErr w:type="gramStart"/>
      <w:r w:rsidRPr="00DE4EBD">
        <w:t>payment</w:t>
      </w:r>
      <w:proofErr w:type="gramEnd"/>
      <w:r w:rsidRPr="00DE4EBD">
        <w:t xml:space="preserve">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14:paraId="062C7C4A" w14:textId="280C98A4" w:rsidR="005F6D33" w:rsidRPr="00DE4EBD" w:rsidRDefault="005F6D33" w:rsidP="00375755">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7DBADCFD"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the British Council does not wish to proceed, there shall be no change to this Agreement; and</w:t>
      </w:r>
    </w:p>
    <w:p w14:paraId="5A815C24" w14:textId="5B15CC37"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2FB8BD6D" w14:textId="0DC23FA0"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23671060"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0C6952">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4C4158BF"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0C6952">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6645D109"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DE4EBD">
        <w:t>opposition</w:t>
      </w:r>
      <w:proofErr w:type="gramEnd"/>
      <w:r w:rsidRPr="00DE4EBD">
        <w:t xml:space="preserve">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 xml:space="preserve">The Supplier hereby assigns to the British Council with full title guarantee by way of present and future assignment all its right, </w:t>
      </w:r>
      <w:proofErr w:type="gramStart"/>
      <w:r w:rsidRPr="00DE4EBD">
        <w:t>title</w:t>
      </w:r>
      <w:proofErr w:type="gramEnd"/>
      <w:r w:rsidRPr="00DE4EBD">
        <w:t xml:space="preserv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 xml:space="preserve">The Supplier shall procure the waiver in favour of the British Council of all moral rights arising under the Copyright, Designs and Patents Act 1988, as </w:t>
      </w:r>
      <w:proofErr w:type="gramStart"/>
      <w:r w:rsidRPr="00DE4EBD">
        <w:t>amended</w:t>
      </w:r>
      <w:proofErr w:type="gramEnd"/>
      <w:r w:rsidRPr="00DE4EBD">
        <w:t xml:space="preserve">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 xml:space="preserve">The Supplier is responsible for obtaining any licences, </w:t>
      </w:r>
      <w:proofErr w:type="gramStart"/>
      <w:r w:rsidRPr="00DE4EBD">
        <w:t>permissions</w:t>
      </w:r>
      <w:proofErr w:type="gramEnd"/>
      <w:r w:rsidRPr="00DE4EBD">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5245B6B5"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0C6952">
        <w:t>10</w:t>
      </w:r>
      <w:r w:rsidRPr="00DE4EBD">
        <w:fldChar w:fldCharType="end"/>
      </w:r>
      <w:r w:rsidRPr="00DE4EBD">
        <w:t>.</w:t>
      </w:r>
    </w:p>
    <w:p w14:paraId="60F0A640" w14:textId="4387BF12"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0C6952">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 xml:space="preserve">Each party shall promptly give written notice to the other party of any actual, </w:t>
      </w:r>
      <w:proofErr w:type="gramStart"/>
      <w:r w:rsidRPr="00DE4EBD">
        <w:t>threatened</w:t>
      </w:r>
      <w:proofErr w:type="gramEnd"/>
      <w:r w:rsidRPr="00DE4EBD">
        <w:t xml:space="preserve">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5CF880A9"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0C6952">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77F2B26F"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0C6952">
        <w:t>16</w:t>
      </w:r>
      <w:r w:rsidR="00250D10">
        <w:fldChar w:fldCharType="end"/>
      </w:r>
      <w:r w:rsidR="00250D10">
        <w:t xml:space="preserve"> </w:t>
      </w:r>
      <w:r w:rsidRPr="00DE4EBD">
        <w:t>(Data Processing).</w:t>
      </w:r>
    </w:p>
    <w:p w14:paraId="3BD776A6" w14:textId="55454457"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0C6952">
        <w:t>11.4</w:t>
      </w:r>
      <w:r w:rsidRPr="00DE4EBD">
        <w:fldChar w:fldCharType="end"/>
      </w:r>
      <w:r w:rsidRPr="00DE4EBD">
        <w:t>.</w:t>
      </w:r>
      <w:bookmarkEnd w:id="90"/>
    </w:p>
    <w:p w14:paraId="53EF9093" w14:textId="478472D5"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0C6952">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1BE0F2FA"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0C6952">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7453C814"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xml:space="preserve">” is the party which discloses Confidential Information to, or in respect of which Confidential Information comes to the knowledge of, the other </w:t>
      </w:r>
      <w:proofErr w:type="gramStart"/>
      <w:r w:rsidRPr="00DE4EBD">
        <w:t>party;  and</w:t>
      </w:r>
      <w:proofErr w:type="gramEnd"/>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1ECA25B4"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0C6952">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0C6952">
        <w:t>12.3</w:t>
      </w:r>
      <w:r w:rsidRPr="00DE4EBD">
        <w:fldChar w:fldCharType="end"/>
      </w:r>
      <w:r w:rsidRPr="00DE4EBD">
        <w:t xml:space="preserve"> shall not apply to any Confidential Information which:</w:t>
      </w:r>
    </w:p>
    <w:p w14:paraId="6C763D43" w14:textId="6529DCA7"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proofErr w:type="gramStart"/>
      <w:r w:rsidRPr="00DE4EBD">
        <w:t>);</w:t>
      </w:r>
      <w:proofErr w:type="gramEnd"/>
    </w:p>
    <w:p w14:paraId="0F1925C2" w14:textId="0421BF4D" w:rsidR="005F6D33" w:rsidRPr="00DE4EBD" w:rsidRDefault="005F6D33" w:rsidP="00375755">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14:paraId="52CA450A" w14:textId="34C71599" w:rsidR="005F6D33" w:rsidRPr="00DE4EBD" w:rsidRDefault="005F6D33" w:rsidP="00375755">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 xml:space="preserve">must be disclosed pursuant to a statutory, </w:t>
      </w:r>
      <w:proofErr w:type="gramStart"/>
      <w:r w:rsidRPr="00DE4EBD">
        <w:t>legal</w:t>
      </w:r>
      <w:proofErr w:type="gramEnd"/>
      <w:r w:rsidRPr="00DE4EBD">
        <w:t xml:space="preserve"> or parliamentary obligation placed upon the Receiving Party.</w:t>
      </w:r>
    </w:p>
    <w:p w14:paraId="1635D47D" w14:textId="108C077B" w:rsidR="005F6D33" w:rsidRPr="00DE4EBD" w:rsidRDefault="005F6D33" w:rsidP="00375755">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the British Council reserves the right to terminate this Agreement by notice in writing with immediate effect.</w:t>
      </w:r>
    </w:p>
    <w:p w14:paraId="2A258146" w14:textId="2B6E3C5F" w:rsidR="005F6D33" w:rsidRPr="00DE4EBD" w:rsidRDefault="005F6D33" w:rsidP="00375755">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t xml:space="preserve">provide the British Council with a copy of all such information in the form that the British Council requires as soon as practicable and in any event within 10 </w:t>
      </w:r>
      <w:r w:rsidRPr="00DE4EBD">
        <w:lastRenderedPageBreak/>
        <w:t>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36E3A154"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0C6952">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7DF38038"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t xml:space="preserve">the other party commits any material breach of any of the terms of this Agreement and that breach (if capable of remedy) is not remedied within 30 days of notice being given requiring it to be remedied (and where such breach </w:t>
      </w:r>
      <w:r w:rsidRPr="00DE4EBD">
        <w:lastRenderedPageBreak/>
        <w:t>is not capable of remedy, the terminating party shall be entitled to terminate the Agreement with immediate effect</w:t>
      </w:r>
      <w:proofErr w:type="gramStart"/>
      <w:r w:rsidRPr="00DE4EBD">
        <w:t>);</w:t>
      </w:r>
      <w:proofErr w:type="gramEnd"/>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 xml:space="preserve">the End Client Agreement </w:t>
      </w:r>
      <w:proofErr w:type="gramStart"/>
      <w:r w:rsidRPr="00DE4EBD">
        <w:t>terminates;</w:t>
      </w:r>
      <w:proofErr w:type="gramEnd"/>
    </w:p>
    <w:p w14:paraId="5A2F4AFB" w14:textId="3FEBBF8E" w:rsidR="005F6D33" w:rsidRPr="00DE4EBD" w:rsidRDefault="005F6D33" w:rsidP="00375755">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4A712988"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0C6952">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7ABE05D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and</w:t>
      </w:r>
    </w:p>
    <w:p w14:paraId="4EB7FB0A" w14:textId="42CDDAB1"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0C6952">
        <w:t>10.4</w:t>
      </w:r>
      <w:r w:rsidRPr="00DE4EBD">
        <w:fldChar w:fldCharType="end"/>
      </w:r>
      <w:r w:rsidRPr="00DE4EBD">
        <w:t>).</w:t>
      </w:r>
    </w:p>
    <w:p w14:paraId="03268F5F" w14:textId="65FB4C2F" w:rsidR="005F6D33" w:rsidRPr="00DE4EBD" w:rsidRDefault="005F6D33" w:rsidP="00375755">
      <w:pPr>
        <w:pStyle w:val="MRSchedPara2"/>
        <w:spacing w:before="60" w:after="160" w:line="276" w:lineRule="auto"/>
        <w:ind w:right="261"/>
      </w:pPr>
      <w:r w:rsidRPr="00DE4EBD">
        <w:lastRenderedPageBreak/>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0C6952">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 xml:space="preserve">Termination of this Agreement, however it arises, shall not </w:t>
      </w:r>
      <w:proofErr w:type="gramStart"/>
      <w:r w:rsidRPr="00DE4EBD">
        <w:t>affect</w:t>
      </w:r>
      <w:proofErr w:type="gramEnd"/>
      <w:r w:rsidRPr="00DE4EBD">
        <w:t xml:space="preserve"> or prejudice the accrued rights of the parties as at termination or the continuation of any provision expressly stated to survive, or implicitly surviving, termination.</w:t>
      </w:r>
    </w:p>
    <w:p w14:paraId="3FC9A0F8" w14:textId="755EF01C"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0C6952">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0C6952">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4D33069A"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0C6952">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 xml:space="preserve">Where the Supplier </w:t>
      </w:r>
      <w:proofErr w:type="gramStart"/>
      <w:r w:rsidRPr="00DE4EBD">
        <w:t>enters into</w:t>
      </w:r>
      <w:proofErr w:type="gramEnd"/>
      <w:r w:rsidRPr="00DE4EBD">
        <w:t xml:space="preserve">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11D1FDF1"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0C6952">
        <w:t>14.3.1</w:t>
      </w:r>
      <w:r w:rsidRPr="00DE4EBD">
        <w:fldChar w:fldCharType="end"/>
      </w:r>
      <w:r w:rsidRPr="00DE4EBD">
        <w:t xml:space="preserve"> of this Agreement.</w:t>
      </w:r>
    </w:p>
    <w:p w14:paraId="15815D16" w14:textId="03309374"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0C6952">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lastRenderedPageBreak/>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 xml:space="preserve">The Supplier undertakes and warrants that it has not offered, </w:t>
      </w:r>
      <w:proofErr w:type="gramStart"/>
      <w:r w:rsidRPr="00DE4EBD">
        <w:t>given</w:t>
      </w:r>
      <w:proofErr w:type="gramEnd"/>
      <w:r w:rsidRPr="00DE4EBD">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74FA80AB"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14:paraId="150222D6" w14:textId="7D8F8B57" w:rsidR="005F6D33" w:rsidRPr="00DE4EBD" w:rsidRDefault="005F6D33" w:rsidP="00375755">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14:paraId="0DFF352D" w14:textId="1678114B" w:rsidR="005F6D33" w:rsidRPr="00DE4EBD" w:rsidRDefault="005F6D33" w:rsidP="00375755">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14:paraId="12A7B320" w14:textId="7C6084EE" w:rsidR="005F6D33" w:rsidRPr="00DE4EBD" w:rsidRDefault="005F6D33" w:rsidP="00375755">
      <w:pPr>
        <w:pStyle w:val="MRSchedPara3"/>
        <w:spacing w:before="60" w:after="160" w:line="276" w:lineRule="auto"/>
        <w:ind w:right="261"/>
      </w:pPr>
      <w:r w:rsidRPr="00DE4EBD">
        <w:t xml:space="preserve">as being subject to export, </w:t>
      </w:r>
      <w:proofErr w:type="gramStart"/>
      <w:r w:rsidRPr="00DE4EBD">
        <w:t>trade</w:t>
      </w:r>
      <w:proofErr w:type="gramEnd"/>
      <w:r w:rsidRPr="00DE4EBD">
        <w:t xml:space="preserv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w:t>
      </w:r>
      <w:proofErr w:type="gramStart"/>
      <w:r w:rsidRPr="00DE4EBD">
        <w:t>together</w:t>
      </w:r>
      <w:proofErr w:type="gramEnd"/>
      <w:r w:rsidRPr="00DE4EBD">
        <w:t xml:space="preserve">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lastRenderedPageBreak/>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 xml:space="preserve">If any of the Supplier, the Supplier’s Team or the Supplier’s Team’s directors or shareholders (where applicable) </w:t>
      </w:r>
      <w:proofErr w:type="gramStart"/>
      <w:r w:rsidRPr="00DE4EBD">
        <w:t>is</w:t>
      </w:r>
      <w:bookmarkEnd w:id="119"/>
      <w:proofErr w:type="gramEnd"/>
    </w:p>
    <w:p w14:paraId="09F281F9" w14:textId="7A584131"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or</w:t>
      </w:r>
      <w:bookmarkEnd w:id="120"/>
      <w:r w:rsidRPr="00DE4EBD">
        <w:t xml:space="preserve"> </w:t>
      </w:r>
    </w:p>
    <w:p w14:paraId="3770EF9F" w14:textId="70D3DFD2"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w:t>
      </w:r>
      <w:bookmarkEnd w:id="121"/>
    </w:p>
    <w:p w14:paraId="02A56927" w14:textId="2CE71D4F"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below.</w:t>
      </w:r>
    </w:p>
    <w:p w14:paraId="1EBFAE19" w14:textId="08164825"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0C6952">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0C6952">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DC2E8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w:t>
      </w:r>
      <w:bookmarkEnd w:id="123"/>
    </w:p>
    <w:p w14:paraId="47EB1964" w14:textId="63CEAB86"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0C6952">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0C6952">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14:paraId="6C24335C" w14:textId="658038D7"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522ACBC5"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00697BB3" w14:textId="54A8DDBB"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0C6952">
        <w:t>15.9.2</w:t>
      </w:r>
      <w:r w:rsidRPr="00DE4EBD">
        <w:fldChar w:fldCharType="end"/>
      </w:r>
      <w:r w:rsidRPr="00DE4EBD">
        <w:t>; and</w:t>
      </w:r>
    </w:p>
    <w:p w14:paraId="69BB428A" w14:textId="11D05A9D"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4FF49109" w14:textId="4C1F3893"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3B6AAF06"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0C6952">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0C6952">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roofErr w:type="gramStart"/>
      <w:r w:rsidRPr="00B8291E">
        <w:t>);</w:t>
      </w:r>
      <w:proofErr w:type="gramEnd"/>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w:t>
      </w:r>
      <w:proofErr w:type="gramStart"/>
      <w:r w:rsidRPr="00B8291E">
        <w:rPr>
          <w:rFonts w:cs="Arial"/>
        </w:rPr>
        <w:t>Controller</w:t>
      </w:r>
      <w:proofErr w:type="gramEnd"/>
      <w:r w:rsidRPr="00B8291E">
        <w:rPr>
          <w:rFonts w:cs="Arial"/>
        </w:rPr>
        <w:t xml:space="preserve"> and the </w:t>
      </w:r>
      <w:r w:rsidR="00FB4312" w:rsidRPr="00B8291E">
        <w:rPr>
          <w:rFonts w:cs="Arial"/>
        </w:rPr>
        <w:t xml:space="preserve">Supplier </w:t>
      </w:r>
      <w:r w:rsidRPr="00B8291E">
        <w:rPr>
          <w:rFonts w:cs="Arial"/>
        </w:rPr>
        <w:t>is the Processor in respect of the Personal Data.</w:t>
      </w:r>
      <w:bookmarkEnd w:id="133"/>
    </w:p>
    <w:p w14:paraId="3FF4C749" w14:textId="74B39649"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2228164C"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0C6952">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 xml:space="preserve">subject to adequate training in the use, protection and handling of personal </w:t>
      </w:r>
      <w:proofErr w:type="gramStart"/>
      <w:r w:rsidRPr="00B8291E">
        <w:rPr>
          <w:rFonts w:cs="Arial"/>
        </w:rPr>
        <w:t>data;</w:t>
      </w:r>
      <w:proofErr w:type="gramEnd"/>
    </w:p>
    <w:p w14:paraId="2BD0C641" w14:textId="5C72C1D3"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0C6952">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34"/>
      <w:proofErr w:type="gramEnd"/>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1E1921E"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35"/>
      <w:proofErr w:type="gramEnd"/>
    </w:p>
    <w:p w14:paraId="0C2B100B" w14:textId="77777777" w:rsidR="00C759E5" w:rsidRPr="00B8291E" w:rsidRDefault="00C759E5" w:rsidP="00375755">
      <w:pPr>
        <w:pStyle w:val="MRSchedPara3"/>
        <w:spacing w:before="60" w:after="160" w:line="276" w:lineRule="auto"/>
        <w:rPr>
          <w:rFonts w:cs="Arial"/>
        </w:rPr>
      </w:pPr>
      <w:r w:rsidRPr="00B8291E">
        <w:rPr>
          <w:rFonts w:cs="Arial"/>
        </w:rPr>
        <w:t>(</w:t>
      </w:r>
      <w:proofErr w:type="gramStart"/>
      <w:r w:rsidRPr="00B8291E">
        <w:rPr>
          <w:rFonts w:cs="Arial"/>
        </w:rPr>
        <w:t>and</w:t>
      </w:r>
      <w:proofErr w:type="gramEnd"/>
      <w:r w:rsidRPr="00B8291E">
        <w:rPr>
          <w:rFonts w:cs="Arial"/>
        </w:rPr>
        <w:t xml:space="preserve">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w:t>
      </w:r>
      <w:proofErr w:type="gramStart"/>
      <w:r w:rsidRPr="00B8291E">
        <w:rPr>
          <w:rFonts w:cs="Arial"/>
          <w:szCs w:val="22"/>
        </w:rPr>
        <w:t>Processor</w:t>
      </w:r>
      <w:proofErr w:type="gramEnd"/>
      <w:r w:rsidRPr="00B8291E">
        <w:rPr>
          <w:rFonts w:cs="Arial"/>
          <w:szCs w:val="22"/>
        </w:rPr>
        <w:t xml:space="preserve">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37"/>
      <w:proofErr w:type="gramEnd"/>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54BC3AB6"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0C6952">
        <w:rPr>
          <w:rFonts w:cs="Arial"/>
        </w:rPr>
        <w:t>16.7.1</w:t>
      </w:r>
      <w:r w:rsidRPr="00B8291E">
        <w:rPr>
          <w:rFonts w:cs="Arial"/>
        </w:rPr>
        <w:fldChar w:fldCharType="end"/>
      </w:r>
      <w:r w:rsidR="00705C29">
        <w:rPr>
          <w:rFonts w:cs="Arial"/>
        </w:rPr>
        <w:t>.</w:t>
      </w:r>
    </w:p>
    <w:p w14:paraId="044A7153" w14:textId="45578161"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0C6952">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31DD96F8"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0C6952">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 xml:space="preserve">shall provide confirmation of destruction of any other copies including details of the date, </w:t>
      </w:r>
      <w:proofErr w:type="gramStart"/>
      <w:r w:rsidRPr="00B8291E">
        <w:rPr>
          <w:rFonts w:cs="Arial"/>
        </w:rPr>
        <w:t>time</w:t>
      </w:r>
      <w:proofErr w:type="gramEnd"/>
      <w:r w:rsidRPr="00B8291E">
        <w:rPr>
          <w:rFonts w:cs="Arial"/>
        </w:rPr>
        <w:t xml:space="preserve"> and method of destruction.</w:t>
      </w:r>
      <w:bookmarkEnd w:id="140"/>
    </w:p>
    <w:p w14:paraId="566C76CB" w14:textId="32C329CC"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0C6952">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0C6952">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0C6952">
        <w:rPr>
          <w:rFonts w:cs="Arial"/>
        </w:rPr>
        <w:t>16.13</w:t>
      </w:r>
      <w:r w:rsidRPr="00B8291E">
        <w:rPr>
          <w:rFonts w:cs="Arial"/>
        </w:rPr>
        <w:fldChar w:fldCharType="end"/>
      </w:r>
      <w:r w:rsidRPr="00B8291E">
        <w:rPr>
          <w:rFonts w:cs="Arial"/>
        </w:rPr>
        <w:t xml:space="preserve"> above.</w:t>
      </w:r>
      <w:bookmarkEnd w:id="126"/>
      <w:bookmarkEnd w:id="131"/>
      <w:bookmarkEnd w:id="14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 xml:space="preserve">The Supplier shall take all necessary measures to comply with the requirements of the Health &amp; Safety at Work Etc Act 1974 (or any equivalent legislation in any applicable jurisdiction) and any other acts, orders, </w:t>
      </w:r>
      <w:proofErr w:type="gramStart"/>
      <w:r w:rsidRPr="00DE4EBD">
        <w:t>regulations</w:t>
      </w:r>
      <w:proofErr w:type="gramEnd"/>
      <w:r w:rsidRPr="00DE4EBD">
        <w:t xml:space="preserve">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w:t>
      </w:r>
      <w:proofErr w:type="gramStart"/>
      <w:r w:rsidRPr="00DE4EBD">
        <w:t>chain;</w:t>
      </w:r>
      <w:proofErr w:type="gramEnd"/>
      <w:r w:rsidRPr="00DE4EBD">
        <w:t xml:space="preserve"> </w:t>
      </w:r>
    </w:p>
    <w:p w14:paraId="3E390E17" w14:textId="204383C0" w:rsidR="005F6D33" w:rsidRPr="00DE4EBD" w:rsidRDefault="005F6D33" w:rsidP="00375755">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7EE44A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0C6952">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14:paraId="35DE50E3" w14:textId="19529D37" w:rsidR="005F6D33" w:rsidRPr="00DE4EBD" w:rsidRDefault="005F6D33" w:rsidP="00375755">
      <w:pPr>
        <w:pStyle w:val="MRSchedPara1"/>
        <w:spacing w:before="60" w:after="160" w:line="276" w:lineRule="auto"/>
        <w:ind w:right="261"/>
      </w:pPr>
      <w:r w:rsidRPr="00DE4EBD">
        <w:t xml:space="preserve">Equality, </w:t>
      </w:r>
      <w:proofErr w:type="gramStart"/>
      <w:r w:rsidRPr="00DE4EBD">
        <w:t>Diversity</w:t>
      </w:r>
      <w:proofErr w:type="gramEnd"/>
      <w:r w:rsidRPr="00DE4EBD">
        <w:t xml:space="preserve">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5E2977B1" w:rsidR="005F6D33" w:rsidRPr="00DE4EBD" w:rsidRDefault="005F6D33" w:rsidP="00375755">
      <w:pPr>
        <w:pStyle w:val="MRSchedPara2"/>
        <w:spacing w:before="60" w:after="160" w:line="276" w:lineRule="auto"/>
        <w:ind w:right="261"/>
      </w:pPr>
      <w:bookmarkStart w:id="152" w:name="_Ref387827455"/>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0C6952">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 xml:space="preserve">This Agreement and any documents referred to in it constitute the entire agreement and understanding between the parties with respect to the subject matter of this Agreement and supersede, </w:t>
      </w:r>
      <w:proofErr w:type="gramStart"/>
      <w:r w:rsidRPr="00DE4EBD">
        <w:t>cancel</w:t>
      </w:r>
      <w:proofErr w:type="gramEnd"/>
      <w:r w:rsidRPr="00DE4EBD">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 xml:space="preserve">If any provision of this Agreement (or part of any provision) is found by any court or other authority of competent jurisdiction to be invalid, </w:t>
      </w:r>
      <w:proofErr w:type="gramStart"/>
      <w:r w:rsidRPr="00DE4EBD">
        <w:t>illegal</w:t>
      </w:r>
      <w:proofErr w:type="gramEnd"/>
      <w:r w:rsidRPr="00DE4EBD">
        <w:t xml:space="preserve">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3B79AA93"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0C6952">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0C6952">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207D0C8F"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0C6952">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0C6952">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63E68434"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0C6952">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 xml:space="preserve">personally, in which case the notice will be deemed to have been received at the time of </w:t>
      </w:r>
      <w:proofErr w:type="gramStart"/>
      <w:r w:rsidRPr="00DE4EBD">
        <w:t>delivery;</w:t>
      </w:r>
      <w:bookmarkEnd w:id="161"/>
      <w:proofErr w:type="gramEnd"/>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2BD7BD1B" w:rsidR="005F6D33" w:rsidRPr="00DE4EBD" w:rsidRDefault="005F6D33" w:rsidP="00375755">
      <w:pPr>
        <w:pStyle w:val="MRSchedPara3"/>
        <w:spacing w:before="60" w:after="160" w:line="276" w:lineRule="auto"/>
        <w:ind w:right="261"/>
      </w:pPr>
      <w:bookmarkStart w:id="163"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0C6952">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Pr="00DE4EBD">
        <w:t>auto-reply</w:t>
      </w:r>
      <w:proofErr w:type="gramEnd"/>
      <w:r w:rsidRPr="00DE4EBD">
        <w:t xml:space="preserve"> or error message is received by the sender in response within one hour after transmission of the notice, then no valid notice has been delivered and the notice must be sent by one of the alternative methods listed above.</w:t>
      </w:r>
      <w:bookmarkEnd w:id="163"/>
    </w:p>
    <w:p w14:paraId="36766601" w14:textId="167E718C"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0C6952">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0C6952">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3BDA8AD4"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551D5258"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0C6952">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0C6952">
        <w:t>34.2</w:t>
      </w:r>
      <w:r w:rsidRPr="00DE4EBD">
        <w:fldChar w:fldCharType="end"/>
      </w:r>
      <w:r w:rsidRPr="00DE4EBD">
        <w:t>.</w:t>
      </w:r>
      <w:bookmarkEnd w:id="166"/>
    </w:p>
    <w:p w14:paraId="7F14B978" w14:textId="4CEF4C1C"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13"/>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4E7274">
              <w:rPr>
                <w:i/>
                <w:iCs/>
                <w:lang w:bidi="he-IL"/>
              </w:rPr>
              <w:t>erasure</w:t>
            </w:r>
            <w:proofErr w:type="gramEnd"/>
            <w:r w:rsidRPr="004E7274">
              <w:rPr>
                <w:i/>
                <w:iCs/>
                <w:lang w:bidi="he-IL"/>
              </w:rPr>
              <w:t xml:space="preserve"> or destruction of data (whether or not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w:t>
            </w:r>
            <w:proofErr w:type="spellStart"/>
            <w:r w:rsidRPr="004E7274">
              <w:rPr>
                <w:i/>
                <w:lang w:val="en-US"/>
              </w:rPr>
              <w:t>organisation</w:t>
            </w:r>
            <w:proofErr w:type="spellEnd"/>
            <w:r w:rsidRPr="004E7274">
              <w:rPr>
                <w:i/>
                <w:lang w:val="en-US"/>
              </w:rPr>
              <w:t xml:space="preserve">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9" w:name="_Hlk122511174"/>
      <w:r w:rsidRPr="004E7274">
        <w:rPr>
          <w:rFonts w:cs="Arial"/>
          <w:u w:val="single"/>
        </w:rPr>
        <w:lastRenderedPageBreak/>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75176DB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14"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1F97FDFF"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5"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lastRenderedPageBreak/>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70"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1" w:name="_Hlk92885565"/>
      <w:bookmarkEnd w:id="170"/>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2" w:name="_Toc79405424"/>
      <w:r w:rsidRPr="00B8291E">
        <w:rPr>
          <w:rFonts w:ascii="Arial" w:hAnsi="Arial" w:cs="Arial"/>
          <w:color w:val="auto"/>
          <w:sz w:val="20"/>
          <w:szCs w:val="20"/>
        </w:rPr>
        <w:t>Part 1: Tables</w:t>
      </w:r>
      <w:bookmarkEnd w:id="172"/>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1 Redman Place, Stratford, London E20 </w:t>
            </w:r>
            <w:proofErr w:type="gramStart"/>
            <w:r w:rsidRPr="00B8291E">
              <w:t>1JQ</w:t>
            </w:r>
            <w:proofErr w:type="gramEnd"/>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00000000">
              <w:rPr>
                <w:rFonts w:ascii="Arial" w:eastAsia="Verdana" w:hAnsi="Arial" w:cs="Arial"/>
                <w:szCs w:val="20"/>
              </w:rPr>
            </w:r>
            <w:r w:rsidR="00000000">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00000000">
              <w:rPr>
                <w:rFonts w:ascii="Arial" w:eastAsia="Verdana" w:hAnsi="Arial" w:cs="Arial"/>
                <w:szCs w:val="20"/>
              </w:rPr>
            </w:r>
            <w:r w:rsidR="00000000">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436C363F"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0C6952">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000000">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00000000">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000000">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proofErr w:type="gramStart"/>
      <w:r w:rsidRPr="00B8291E">
        <w:rPr>
          <w:rFonts w:ascii="Arial" w:hAnsi="Arial" w:cs="Arial"/>
          <w:b/>
          <w:bCs/>
          <w:color w:val="auto"/>
          <w:sz w:val="20"/>
          <w:szCs w:val="20"/>
        </w:rPr>
        <w:t>Entering into</w:t>
      </w:r>
      <w:proofErr w:type="gramEnd"/>
      <w:r w:rsidRPr="00B8291E">
        <w:rPr>
          <w:rFonts w:ascii="Arial" w:hAnsi="Arial" w:cs="Arial"/>
          <w:b/>
          <w:bCs/>
          <w:color w:val="auto"/>
          <w:sz w:val="20"/>
          <w:szCs w:val="20"/>
        </w:rPr>
        <w:t xml:space="preserve">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3" w:name="_Ref90904580"/>
      <w:r w:rsidRPr="00B8291E">
        <w:rPr>
          <w:rFonts w:ascii="Arial" w:hAnsi="Arial" w:cs="Arial"/>
          <w:color w:val="auto"/>
          <w:sz w:val="20"/>
          <w:szCs w:val="20"/>
        </w:rPr>
        <w:t xml:space="preserve">Although Annex 1A and Clause 7 of the Approved EU SCCs require signature by the Parties, for the purpose of making Restricted Transfers, the Parties may </w:t>
      </w:r>
      <w:proofErr w:type="gramStart"/>
      <w:r w:rsidRPr="00B8291E">
        <w:rPr>
          <w:rFonts w:ascii="Arial" w:hAnsi="Arial" w:cs="Arial"/>
          <w:color w:val="auto"/>
          <w:sz w:val="20"/>
          <w:szCs w:val="20"/>
        </w:rPr>
        <w:t>enter into</w:t>
      </w:r>
      <w:proofErr w:type="gramEnd"/>
      <w:r w:rsidRPr="00B8291E">
        <w:rPr>
          <w:rFonts w:ascii="Arial" w:hAnsi="Arial" w:cs="Arial"/>
          <w:color w:val="auto"/>
          <w:sz w:val="20"/>
          <w:szCs w:val="20"/>
        </w:rPr>
        <w:t xml:space="preserve"> this Addendum in any way that makes them legally binding on the Parties and allows data subjects to enforce their rights as set out in this Addendum. </w:t>
      </w:r>
      <w:proofErr w:type="gramStart"/>
      <w:r w:rsidRPr="00B8291E">
        <w:rPr>
          <w:rFonts w:ascii="Arial" w:hAnsi="Arial" w:cs="Arial"/>
          <w:color w:val="auto"/>
          <w:sz w:val="20"/>
          <w:szCs w:val="20"/>
        </w:rPr>
        <w:t>Entering into</w:t>
      </w:r>
      <w:proofErr w:type="gramEnd"/>
      <w:r w:rsidRPr="00B8291E">
        <w:rPr>
          <w:rFonts w:ascii="Arial" w:hAnsi="Arial" w:cs="Arial"/>
          <w:color w:val="auto"/>
          <w:sz w:val="20"/>
          <w:szCs w:val="20"/>
        </w:rPr>
        <w:t xml:space="preserve"> this Addendum will have the same effect as signing the Approved EU SCCs and any part of the Approved EU SCCs.</w:t>
      </w:r>
      <w:bookmarkEnd w:id="173"/>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4"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5DA7C989"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lastRenderedPageBreak/>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71"/>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B8291E">
        <w:rPr>
          <w:rFonts w:ascii="Arial" w:hAnsi="Arial" w:cs="Arial"/>
          <w:color w:val="auto"/>
          <w:sz w:val="20"/>
          <w:szCs w:val="20"/>
        </w:rPr>
        <w:t>entered into</w:t>
      </w:r>
      <w:proofErr w:type="gramEnd"/>
      <w:r w:rsidRPr="00B8291E">
        <w:rPr>
          <w:rFonts w:ascii="Arial" w:hAnsi="Arial" w:cs="Arial"/>
          <w:color w:val="auto"/>
          <w:sz w:val="20"/>
          <w:szCs w:val="20"/>
        </w:rPr>
        <w:t xml:space="preserve">.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4CCE9DAF" w:rsidR="00B8291E" w:rsidRPr="00B8291E" w:rsidRDefault="00B8291E" w:rsidP="00375755">
      <w:pPr>
        <w:pStyle w:val="NormalNumbered"/>
        <w:spacing w:before="60" w:after="160"/>
        <w:jc w:val="both"/>
        <w:rPr>
          <w:rFonts w:ascii="Arial" w:hAnsi="Arial" w:cs="Arial"/>
          <w:color w:val="auto"/>
          <w:sz w:val="20"/>
          <w:szCs w:val="20"/>
        </w:rPr>
      </w:pPr>
      <w:bookmarkStart w:id="175"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5"/>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7"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6"/>
      <w:bookmarkEnd w:id="177"/>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8" w:name="_Ref90906729"/>
      <w:bookmarkStart w:id="179" w:name="_Hlk92876330"/>
      <w:r w:rsidRPr="00B8291E">
        <w:rPr>
          <w:rFonts w:ascii="Arial" w:hAnsi="Arial" w:cs="Arial"/>
          <w:color w:val="auto"/>
          <w:sz w:val="20"/>
          <w:szCs w:val="20"/>
        </w:rPr>
        <w:t>This Addendum incorporates the Addendum EU SCCs which are amended to the extent necessary so that:</w:t>
      </w:r>
      <w:bookmarkEnd w:id="178"/>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B8291E">
        <w:rPr>
          <w:rFonts w:cs="Arial"/>
          <w:sz w:val="20"/>
          <w:szCs w:val="20"/>
        </w:rPr>
        <w:t>transfers;</w:t>
      </w:r>
      <w:proofErr w:type="gramEnd"/>
      <w:r w:rsidRPr="00B8291E">
        <w:rPr>
          <w:rFonts w:cs="Arial"/>
          <w:sz w:val="20"/>
          <w:szCs w:val="20"/>
        </w:rPr>
        <w:t xml:space="preserve"> </w:t>
      </w:r>
    </w:p>
    <w:p w14:paraId="34A8E7C2" w14:textId="23BA8E5B"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44209D00" w:rsidR="00B8291E" w:rsidRPr="00B8291E" w:rsidRDefault="00B8291E" w:rsidP="00375755">
      <w:pPr>
        <w:pStyle w:val="NormalNumbered"/>
        <w:spacing w:before="60" w:after="160"/>
        <w:jc w:val="both"/>
        <w:rPr>
          <w:rFonts w:ascii="Arial" w:hAnsi="Arial" w:cs="Arial"/>
          <w:color w:val="auto"/>
          <w:sz w:val="20"/>
          <w:szCs w:val="20"/>
        </w:rPr>
      </w:pPr>
      <w:bookmarkStart w:id="180" w:name="_Ref90907070"/>
      <w:bookmarkEnd w:id="179"/>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0C2D5CCC"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71CA1E41" w:rsidR="00B8291E" w:rsidRPr="00B8291E" w:rsidRDefault="00B8291E" w:rsidP="00375755">
      <w:pPr>
        <w:pStyle w:val="NormalNumbered"/>
        <w:spacing w:before="60" w:after="160"/>
        <w:jc w:val="both"/>
        <w:rPr>
          <w:rFonts w:ascii="Arial" w:hAnsi="Arial" w:cs="Arial"/>
          <w:color w:val="auto"/>
          <w:sz w:val="20"/>
          <w:szCs w:val="20"/>
        </w:rPr>
      </w:pPr>
      <w:bookmarkStart w:id="181"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80"/>
      <w:bookmarkEnd w:id="181"/>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the “Clauses” means this Addendum, incorporating the Addendum EU </w:t>
      </w:r>
      <w:proofErr w:type="gramStart"/>
      <w:r w:rsidRPr="00B8291E">
        <w:rPr>
          <w:rFonts w:cs="Arial"/>
          <w:sz w:val="20"/>
          <w:szCs w:val="20"/>
        </w:rPr>
        <w:t>SCCs;</w:t>
      </w:r>
      <w:proofErr w:type="gramEnd"/>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and</w:t>
      </w:r>
      <w:proofErr w:type="gramEnd"/>
      <w:r w:rsidRPr="00B8291E">
        <w:rPr>
          <w:rFonts w:cs="Arial"/>
          <w:sz w:val="20"/>
          <w:szCs w:val="20"/>
        </w:rPr>
        <w:t>,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B8291E">
        <w:rPr>
          <w:rFonts w:cs="Arial"/>
          <w:sz w:val="20"/>
          <w:szCs w:val="20"/>
        </w:rPr>
        <w:t>”;</w:t>
      </w:r>
      <w:proofErr w:type="gramEnd"/>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w:t>
      </w:r>
      <w:proofErr w:type="spellStart"/>
      <w:r w:rsidRPr="00B8291E">
        <w:rPr>
          <w:rFonts w:cs="Arial"/>
          <w:sz w:val="20"/>
          <w:szCs w:val="20"/>
        </w:rPr>
        <w:t>i</w:t>
      </w:r>
      <w:proofErr w:type="spellEnd"/>
      <w:r w:rsidRPr="00B8291E">
        <w:rPr>
          <w:rFonts w:cs="Arial"/>
          <w:sz w:val="20"/>
          <w:szCs w:val="20"/>
        </w:rPr>
        <w:t>)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B8291E">
        <w:rPr>
          <w:rFonts w:cs="Arial"/>
          <w:sz w:val="20"/>
          <w:szCs w:val="20"/>
        </w:rPr>
        <w:t>Laws;</w:t>
      </w:r>
      <w:proofErr w:type="gramEnd"/>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2018/1725 are </w:t>
      </w:r>
      <w:proofErr w:type="gramStart"/>
      <w:r w:rsidRPr="00B8291E">
        <w:rPr>
          <w:rFonts w:cs="Arial"/>
          <w:sz w:val="20"/>
          <w:szCs w:val="20"/>
        </w:rPr>
        <w:t>removed;</w:t>
      </w:r>
      <w:proofErr w:type="gramEnd"/>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roofErr w:type="gramStart"/>
      <w:r w:rsidRPr="00B8291E">
        <w:rPr>
          <w:rFonts w:cs="Arial"/>
          <w:sz w:val="20"/>
          <w:szCs w:val="20"/>
        </w:rPr>
        <w:t>”;</w:t>
      </w:r>
      <w:proofErr w:type="gramEnd"/>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w:t>
      </w:r>
      <w:proofErr w:type="gramStart"/>
      <w:r w:rsidRPr="00B8291E">
        <w:rPr>
          <w:rFonts w:cs="Arial"/>
          <w:sz w:val="20"/>
          <w:szCs w:val="20"/>
        </w:rPr>
        <w:t>used;</w:t>
      </w:r>
      <w:proofErr w:type="gramEnd"/>
      <w:r w:rsidRPr="00B8291E">
        <w:rPr>
          <w:rFonts w:cs="Arial"/>
          <w:sz w:val="20"/>
          <w:szCs w:val="20"/>
        </w:rPr>
        <w:t xml:space="preserve">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roofErr w:type="gramStart"/>
      <w:r w:rsidRPr="00B8291E">
        <w:rPr>
          <w:rFonts w:cs="Arial"/>
          <w:sz w:val="20"/>
          <w:szCs w:val="20"/>
        </w:rPr>
        <w:t>”;</w:t>
      </w:r>
      <w:proofErr w:type="gramEnd"/>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w:t>
      </w:r>
      <w:proofErr w:type="spellStart"/>
      <w:r w:rsidRPr="00B8291E">
        <w:rPr>
          <w:rFonts w:cs="Arial"/>
          <w:sz w:val="20"/>
          <w:szCs w:val="20"/>
        </w:rPr>
        <w:t>i</w:t>
      </w:r>
      <w:proofErr w:type="spellEnd"/>
      <w:r w:rsidRPr="00B8291E">
        <w:rPr>
          <w:rFonts w:cs="Arial"/>
          <w:sz w:val="20"/>
          <w:szCs w:val="20"/>
        </w:rPr>
        <w:t>)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lastRenderedPageBreak/>
        <w:t>“These Clauses are governed by the laws of England and Wales.</w:t>
      </w:r>
      <w:proofErr w:type="gramStart"/>
      <w:r w:rsidRPr="00B8291E">
        <w:rPr>
          <w:rFonts w:cs="Arial"/>
          <w:sz w:val="20"/>
          <w:szCs w:val="20"/>
        </w:rPr>
        <w:t>”;</w:t>
      </w:r>
      <w:proofErr w:type="gramEnd"/>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2"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2"/>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3"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3"/>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4" w:name="_Ref90907400"/>
      <w:r w:rsidRPr="00B8291E">
        <w:rPr>
          <w:rFonts w:ascii="Arial" w:hAnsi="Arial" w:cs="Arial"/>
          <w:color w:val="auto"/>
          <w:sz w:val="20"/>
          <w:szCs w:val="20"/>
        </w:rPr>
        <w:t>From time to time, the ICO may issue a revised Approved Addendum which:</w:t>
      </w:r>
      <w:bookmarkEnd w:id="184"/>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 xml:space="preserve">reflects changes to UK Data Protection </w:t>
      </w:r>
      <w:proofErr w:type="gramStart"/>
      <w:r w:rsidRPr="00B8291E">
        <w:rPr>
          <w:rFonts w:cs="Arial"/>
          <w:sz w:val="20"/>
          <w:szCs w:val="20"/>
        </w:rPr>
        <w:t>Laws;</w:t>
      </w:r>
      <w:proofErr w:type="gramEnd"/>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545C1AD5" w:rsidR="00B8291E" w:rsidRPr="00B8291E" w:rsidRDefault="00B8291E" w:rsidP="00375755">
      <w:pPr>
        <w:pStyle w:val="NormalNumbered"/>
        <w:spacing w:before="60" w:after="160"/>
        <w:jc w:val="both"/>
        <w:rPr>
          <w:rFonts w:ascii="Arial" w:hAnsi="Arial" w:cs="Arial"/>
          <w:color w:val="auto"/>
          <w:sz w:val="20"/>
          <w:szCs w:val="20"/>
        </w:rPr>
      </w:pPr>
      <w:bookmarkStart w:id="185" w:name="_Ref93329888"/>
      <w:bookmarkStart w:id="186"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5"/>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6"/>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7"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7"/>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17B68CC0"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 xml:space="preserve"> of those Mandatory Clauses.</w:t>
            </w:r>
          </w:p>
        </w:tc>
      </w:tr>
      <w:bookmarkEnd w:id="174"/>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lastRenderedPageBreak/>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7CAEF6FE"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16"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2B009BF7"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7"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lastRenderedPageBreak/>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lastRenderedPageBreak/>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w:t>
      </w:r>
      <w:r w:rsidRPr="00B8291E">
        <w:rPr>
          <w:rFonts w:cs="Arial"/>
          <w:noProof/>
          <w:sz w:val="20"/>
          <w:szCs w:val="20"/>
        </w:rPr>
        <w:lastRenderedPageBreak/>
        <w:t>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w:t>
      </w:r>
      <w:r w:rsidRPr="00B8291E">
        <w:rPr>
          <w:rFonts w:cs="Arial"/>
          <w:noProof/>
          <w:sz w:val="20"/>
          <w:szCs w:val="20"/>
        </w:rPr>
        <w:lastRenderedPageBreak/>
        <w:t xml:space="preserve">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lastRenderedPageBreak/>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lastRenderedPageBreak/>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lastRenderedPageBreak/>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8" w:name="_Ref42601435"/>
      <w:r w:rsidRPr="00B8291E">
        <w:rPr>
          <w:rFonts w:cs="Arial"/>
          <w:b/>
          <w:noProof/>
          <w:sz w:val="20"/>
          <w:szCs w:val="20"/>
        </w:rPr>
        <w:t>B. DESCRIPTION OF TRANSFER</w:t>
      </w:r>
      <w:bookmarkEnd w:id="188"/>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Sensitive data transferred (if applicable) and applied restrictions or safeguards that fully take into consideration the nature of the data and the risks involved, such as for instance strict purpose limitation, access restrictions </w:t>
      </w:r>
      <w:r w:rsidRPr="00B8291E">
        <w:rPr>
          <w:rFonts w:cs="Arial"/>
          <w:i/>
          <w:noProof/>
          <w:sz w:val="20"/>
          <w:szCs w:val="20"/>
        </w:rPr>
        <w:lastRenderedPageBreak/>
        <w:t>(including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lastRenderedPageBreak/>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3E444B38"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18"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lastRenderedPageBreak/>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9" w:name="_Toc501369811"/>
      <w:bookmarkStart w:id="190" w:name="_Toc505602990"/>
      <w:bookmarkStart w:id="191" w:name="_Toc505780023"/>
      <w:bookmarkStart w:id="192" w:name="_Toc506305867"/>
      <w:bookmarkStart w:id="193" w:name="_Toc511035887"/>
    </w:p>
    <w:bookmarkEnd w:id="189"/>
    <w:bookmarkEnd w:id="190"/>
    <w:bookmarkEnd w:id="191"/>
    <w:bookmarkEnd w:id="192"/>
    <w:bookmarkEnd w:id="193"/>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9"/>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D8C9" w14:textId="77777777" w:rsidR="00B53CA2" w:rsidRDefault="00B53CA2" w:rsidP="00C200AF">
      <w:pPr>
        <w:spacing w:before="0" w:line="240" w:lineRule="auto"/>
      </w:pPr>
      <w:r>
        <w:separator/>
      </w:r>
    </w:p>
  </w:endnote>
  <w:endnote w:type="continuationSeparator" w:id="0">
    <w:p w14:paraId="6CAB3FBA" w14:textId="77777777" w:rsidR="00B53CA2" w:rsidRDefault="00B53CA2"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268EFD4B" w:rsidR="00A63CBF" w:rsidRPr="005101BC" w:rsidRDefault="008B2394" w:rsidP="00575F6F">
    <w:pPr>
      <w:pStyle w:val="Footer"/>
      <w:rPr>
        <w:sz w:val="16"/>
        <w:szCs w:val="16"/>
      </w:rPr>
    </w:pPr>
    <w:r w:rsidRPr="008B2394">
      <w:rPr>
        <w:sz w:val="16"/>
        <w:szCs w:val="16"/>
      </w:rPr>
      <w:t xml:space="preserve">Last updated: </w:t>
    </w:r>
    <w:r w:rsidR="00870C9E" w:rsidRPr="00870C9E">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7C6E" w14:textId="77777777" w:rsidR="00B53CA2" w:rsidRDefault="00B53CA2" w:rsidP="00C200AF">
      <w:pPr>
        <w:spacing w:before="0" w:line="240" w:lineRule="auto"/>
      </w:pPr>
      <w:r>
        <w:separator/>
      </w:r>
    </w:p>
  </w:footnote>
  <w:footnote w:type="continuationSeparator" w:id="0">
    <w:p w14:paraId="0C17552C" w14:textId="77777777" w:rsidR="00B53CA2" w:rsidRDefault="00B53CA2"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shd w:val="clear" w:color="auto" w:fill="FFFFFF"/>
        </w:rPr>
        <w:t>list</w:t>
      </w:r>
      <w:proofErr w:type="gramEnd"/>
      <w:r w:rsidRPr="00A674BA">
        <w:rPr>
          <w:shd w:val="clear" w:color="auto" w:fill="FFFFFF"/>
        </w:rPr>
        <w:t xml:space="preserve">.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 xml:space="preserve">The Agreement on the European Economic Area (EEA Agreement) provides for the extension of the European Union's internal market to the three EEA States Iceland, </w:t>
      </w:r>
      <w:proofErr w:type="gramStart"/>
      <w:r>
        <w:t>Liechtenstein</w:t>
      </w:r>
      <w:proofErr w:type="gramEnd"/>
      <w: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t>time-frame</w:t>
      </w:r>
      <w:proofErr w:type="gramEnd"/>
      <w:r>
        <w:t xml:space="preserve">. This refers </w:t>
      </w:r>
      <w:proofErr w:type="gramStart"/>
      <w:r>
        <w:t>in particular to</w:t>
      </w:r>
      <w:proofErr w:type="gramEnd"/>
      <w: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t>have to</w:t>
      </w:r>
      <w:proofErr w:type="gramEnd"/>
      <w: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9"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2C4601"/>
    <w:multiLevelType w:val="multilevel"/>
    <w:tmpl w:val="D13C9630"/>
    <w:numStyleLink w:val="LMA"/>
  </w:abstractNum>
  <w:abstractNum w:abstractNumId="26" w15:restartNumberingAfterBreak="0">
    <w:nsid w:val="4D840B7B"/>
    <w:multiLevelType w:val="multilevel"/>
    <w:tmpl w:val="9B1CF228"/>
    <w:numStyleLink w:val="Definitions"/>
  </w:abstractNum>
  <w:abstractNum w:abstractNumId="27"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0"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1"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2"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3"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5" w15:restartNumberingAfterBreak="0">
    <w:nsid w:val="6D0C2F44"/>
    <w:multiLevelType w:val="multilevel"/>
    <w:tmpl w:val="7D42F14A"/>
    <w:numStyleLink w:val="Headings"/>
  </w:abstractNum>
  <w:abstractNum w:abstractNumId="36"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1"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8"/>
  </w:num>
  <w:num w:numId="4" w16cid:durableId="2011563509">
    <w:abstractNumId w:val="26"/>
  </w:num>
  <w:num w:numId="5" w16cid:durableId="1741905262">
    <w:abstractNumId w:val="35"/>
  </w:num>
  <w:num w:numId="6" w16cid:durableId="81725438">
    <w:abstractNumId w:val="25"/>
  </w:num>
  <w:num w:numId="7" w16cid:durableId="437793495">
    <w:abstractNumId w:val="40"/>
  </w:num>
  <w:num w:numId="8" w16cid:durableId="2078240296">
    <w:abstractNumId w:val="22"/>
  </w:num>
  <w:num w:numId="9" w16cid:durableId="504903656">
    <w:abstractNumId w:val="29"/>
  </w:num>
  <w:num w:numId="10" w16cid:durableId="1840578874">
    <w:abstractNumId w:val="21"/>
  </w:num>
  <w:num w:numId="11" w16cid:durableId="1483692192">
    <w:abstractNumId w:val="16"/>
  </w:num>
  <w:num w:numId="12" w16cid:durableId="2104106062">
    <w:abstractNumId w:val="31"/>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7"/>
  </w:num>
  <w:num w:numId="14" w16cid:durableId="853418223">
    <w:abstractNumId w:val="11"/>
  </w:num>
  <w:num w:numId="15" w16cid:durableId="1606306036">
    <w:abstractNumId w:val="36"/>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8"/>
  </w:num>
  <w:num w:numId="29" w16cid:durableId="300692600">
    <w:abstractNumId w:val="31"/>
  </w:num>
  <w:num w:numId="30" w16cid:durableId="364646133">
    <w:abstractNumId w:val="14"/>
  </w:num>
  <w:num w:numId="31" w16cid:durableId="80296659">
    <w:abstractNumId w:val="19"/>
  </w:num>
  <w:num w:numId="32" w16cid:durableId="1732387712">
    <w:abstractNumId w:val="39"/>
  </w:num>
  <w:num w:numId="33" w16cid:durableId="37824265">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7"/>
  </w:num>
  <w:num w:numId="54" w16cid:durableId="17291119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4"/>
  </w:num>
  <w:num w:numId="56" w16cid:durableId="236019305">
    <w:abstractNumId w:val="38"/>
  </w:num>
  <w:num w:numId="57" w16cid:durableId="621422609">
    <w:abstractNumId w:val="33"/>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0"/>
  </w:num>
  <w:num w:numId="60" w16cid:durableId="2055151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6"/>
  </w:num>
  <w:num w:numId="62" w16cid:durableId="422842412">
    <w:abstractNumId w:val="24"/>
  </w:num>
  <w:num w:numId="63" w16cid:durableId="2492357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C1DE4"/>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B124B9"/>
    <w:rsid w:val="00B35976"/>
    <w:rsid w:val="00B53427"/>
    <w:rsid w:val="00B53CA2"/>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D05170"/>
    <w:rsid w:val="00D233D8"/>
    <w:rsid w:val="00D42A61"/>
    <w:rsid w:val="00D732FB"/>
    <w:rsid w:val="00D8751B"/>
    <w:rsid w:val="00D93F18"/>
    <w:rsid w:val="00DA1AF1"/>
    <w:rsid w:val="00E35EBC"/>
    <w:rsid w:val="00E5331C"/>
    <w:rsid w:val="00E6733D"/>
    <w:rsid w:val="00E93EC4"/>
    <w:rsid w:val="00EA673A"/>
    <w:rsid w:val="00EB5349"/>
    <w:rsid w:val="00EC5DAE"/>
    <w:rsid w:val="00EF75F0"/>
    <w:rsid w:val="00F07E38"/>
    <w:rsid w:val="00F25360"/>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mailto:InfoGovernance@british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yperlink" Target="mailto:InfoGovernance@britishcouncil.org" TargetMode="External"/><Relationship Id="rId2" Type="http://schemas.openxmlformats.org/officeDocument/2006/relationships/numbering" Target="numbering.xml"/><Relationship Id="rId16" Type="http://schemas.openxmlformats.org/officeDocument/2006/relationships/hyperlink" Target="mailto:InfoGovernance@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overnance@britishcouncil.org" TargetMode="External"/><Relationship Id="rId5" Type="http://schemas.openxmlformats.org/officeDocument/2006/relationships/webSettings" Target="webSettings.xml"/><Relationship Id="rId15" Type="http://schemas.openxmlformats.org/officeDocument/2006/relationships/hyperlink" Target="mailto:InfoGovernance@britishcouncil.org" TargetMode="External"/><Relationship Id="rId10" Type="http://schemas.openxmlformats.org/officeDocument/2006/relationships/hyperlink" Target="https://www.gov.uk/government/publications/criminal-records-checks-for-overseas-applica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overnance@britishcounci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24235</Words>
  <Characters>138144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Machaca, William (Peru)</cp:lastModifiedBy>
  <cp:revision>2</cp:revision>
  <dcterms:created xsi:type="dcterms:W3CDTF">2023-05-03T16:50:00Z</dcterms:created>
  <dcterms:modified xsi:type="dcterms:W3CDTF">2023-05-03T16:50:00Z</dcterms:modified>
</cp:coreProperties>
</file>